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DCCE" w14:textId="09637F02" w:rsidR="00EB6F7A" w:rsidRPr="00EB6F7A" w:rsidRDefault="00EB6F7A" w:rsidP="00EB6F7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Mecanismul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raportare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încălcărilor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legii</w:t>
      </w:r>
      <w:proofErr w:type="spellEnd"/>
    </w:p>
    <w:p w14:paraId="5FFF6947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B6E774B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019F732" w14:textId="6476C4F2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sensul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instrText>HYPERLINK "https://legislatie.just.ro/Public/DetaliiDocument/262872"</w:instrText>
      </w:r>
      <w:r w:rsidRPr="00EB6F7A">
        <w:rPr>
          <w:rFonts w:ascii="Times New Roman" w:hAnsi="Times New Roman" w:cs="Times New Roman"/>
          <w:sz w:val="24"/>
          <w:szCs w:val="24"/>
          <w:lang w:val="en-GB"/>
        </w:rPr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Pr="00EB6F7A">
        <w:rPr>
          <w:rStyle w:val="Hyperlink"/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EB6F7A">
        <w:rPr>
          <w:rStyle w:val="Hyperlink"/>
          <w:rFonts w:ascii="Times New Roman" w:hAnsi="Times New Roman" w:cs="Times New Roman"/>
          <w:sz w:val="24"/>
          <w:szCs w:val="24"/>
          <w:lang w:val="en-GB"/>
        </w:rPr>
        <w:t xml:space="preserve"> nr. 361/2022</w:t>
      </w:r>
      <w:r w:rsidRPr="00EB6F7A">
        <w:rPr>
          <w:rFonts w:ascii="Times New Roman" w:hAnsi="Times New Roman" w:cs="Times New Roman"/>
          <w:sz w:val="24"/>
          <w:szCs w:val="24"/>
        </w:rPr>
        <w:fldChar w:fldCharType="end"/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protecţia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avertizorilor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public.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Avertizorul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interes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public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persoană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fizică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care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efectuează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raportare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divulgă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public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informaţii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referitoare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încălcări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obţinute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context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2D0D16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14:paraId="1E5BC941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 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Legislația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incidentă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4244884C" w14:textId="77777777" w:rsidR="00EB6F7A" w:rsidRPr="00EB6F7A" w:rsidRDefault="00EB6F7A" w:rsidP="00EB6F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Legea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nr. 361/2022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protecţia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avertizorilor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în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interes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public, cu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modificările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ulterioare</w:t>
        </w:r>
        <w:proofErr w:type="spellEnd"/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A2DA29A" w14:textId="77777777" w:rsidR="00EB6F7A" w:rsidRPr="00EB6F7A" w:rsidRDefault="00EB6F7A" w:rsidP="00EB6F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Legea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nr. 78/2000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pentru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prevenirea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,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descoperirea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sancţionarea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faptelor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de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corupţie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, cu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modificările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completările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ulterioare</w:t>
        </w:r>
        <w:proofErr w:type="spellEnd"/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3C3C35E" w14:textId="77777777" w:rsidR="00EB6F7A" w:rsidRPr="00EB6F7A" w:rsidRDefault="00EB6F7A" w:rsidP="00EB6F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hyperlink r:id="rId7" w:history="1"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Legea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nr. 161/2003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unele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măsuri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pentru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asigurarea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transparenţei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în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exercitarea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demnităţilor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publice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, a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funcţiilor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publice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în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mediul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de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afaceri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prevenirea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corupţiei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, cu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modificările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completările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ulterioare</w:t>
        </w:r>
        <w:proofErr w:type="spellEnd"/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82AA353" w14:textId="77777777" w:rsidR="00EB6F7A" w:rsidRPr="00EB6F7A" w:rsidRDefault="00EB6F7A" w:rsidP="00EB6F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hyperlink r:id="rId8" w:history="1"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Legea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nr. 176/2010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integritatea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în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exercitarea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funcţiilor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demnităţilor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publice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,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pentru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modificarea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completarea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Legii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nr. 144/2007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înfiinţarea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,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organizarea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funcţionarea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Agenţiei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Naţionale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de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Integritate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, precum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pentru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modificarea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şi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completarea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altor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acte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normative, cu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modificările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ulterioare</w:t>
        </w:r>
        <w:proofErr w:type="spellEnd"/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6C86725" w14:textId="77777777" w:rsidR="00EB6F7A" w:rsidRPr="00EB6F7A" w:rsidRDefault="00EB6F7A" w:rsidP="00EB6F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hyperlink r:id="rId9" w:history="1"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Legea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nr. 251/2004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unele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măsuri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referitoare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la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bunurile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primite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cu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titlu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gratuit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cu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prilejul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unor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acţiuni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de protocol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în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exercitarea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mandatului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sau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a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funcţiei</w:t>
        </w:r>
        <w:proofErr w:type="spellEnd"/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129AE90" w14:textId="77777777" w:rsidR="00EB6F7A" w:rsidRPr="00EB6F7A" w:rsidRDefault="00EB6F7A" w:rsidP="00EB6F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hyperlink r:id="rId10" w:history="1"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Directiva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(UE) 2019/1937 a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Parlamentului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European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și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a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Consiliului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din 23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octombrie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2019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protecția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persoanelor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care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raportează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încălcări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ale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dreptului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Uniunii</w:t>
        </w:r>
        <w:proofErr w:type="spellEnd"/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71AA606" w14:textId="77777777" w:rsidR="00EB6F7A" w:rsidRPr="00EB6F7A" w:rsidRDefault="00EB6F7A" w:rsidP="00EB6F7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hyperlink r:id="rId11" w:history="1"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Regulamentul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(UE) 2016/679 al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Parlamentului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European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și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al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Consiliului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din 27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aprilie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2016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protecția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persoanelor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fizice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în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ceea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privește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prelucrarea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datelor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cu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caracter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personal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și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libera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circulație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a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acestor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date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și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de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abrogare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a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Directivei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95/46/CE (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Regulamentul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general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privind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protecția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proofErr w:type="spellStart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datelor</w:t>
        </w:r>
        <w:proofErr w:type="spellEnd"/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)</w:t>
        </w:r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601A9B" w14:textId="1E3D5C38" w:rsidR="00EB6F7A" w:rsidRPr="00EB6F7A" w:rsidRDefault="00EB6F7A" w:rsidP="00EB6F7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Persoanele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efectuează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raportări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încălcări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care s-au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produs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care sunt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susceptibile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producă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Complexului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Muzeal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Arad</w:t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au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posibilitatea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utilizeze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fie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canalele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interne, fie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externe,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raporteze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canalele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externe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după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le-au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utilizat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interne,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beneficiind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același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timp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aceleași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standard de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protecție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E991C3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14:paraId="7C89BD6D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I.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Raportarea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internă</w:t>
      </w:r>
      <w:proofErr w:type="spellEnd"/>
    </w:p>
    <w:p w14:paraId="4B350BC3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>1)   </w:t>
      </w:r>
      <w:proofErr w:type="spellStart"/>
      <w:r w:rsidRPr="00EB6F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scris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4D1119C5" w14:textId="720F23BD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>a) </w:t>
      </w:r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pe 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suport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 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hârtie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depunerea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sesizării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secretariatul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52C">
        <w:rPr>
          <w:rFonts w:ascii="Times New Roman" w:hAnsi="Times New Roman" w:cs="Times New Roman"/>
          <w:sz w:val="24"/>
          <w:szCs w:val="24"/>
          <w:lang w:val="en-GB"/>
        </w:rPr>
        <w:t>Complexului</w:t>
      </w:r>
      <w:proofErr w:type="spellEnd"/>
      <w:r w:rsidR="009835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352C">
        <w:rPr>
          <w:rFonts w:ascii="Times New Roman" w:hAnsi="Times New Roman" w:cs="Times New Roman"/>
          <w:sz w:val="24"/>
          <w:szCs w:val="24"/>
          <w:lang w:val="en-GB"/>
        </w:rPr>
        <w:t>Muzeal</w:t>
      </w:r>
      <w:proofErr w:type="spellEnd"/>
      <w:r w:rsidR="0098352C">
        <w:rPr>
          <w:rFonts w:ascii="Times New Roman" w:hAnsi="Times New Roman" w:cs="Times New Roman"/>
          <w:sz w:val="24"/>
          <w:szCs w:val="24"/>
          <w:lang w:val="en-GB"/>
        </w:rPr>
        <w:t xml:space="preserve"> Arad</w:t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transmiterea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sesizării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serviciile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poștale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352C">
        <w:rPr>
          <w:rFonts w:ascii="Times New Roman" w:hAnsi="Times New Roman" w:cs="Times New Roman"/>
          <w:sz w:val="24"/>
          <w:szCs w:val="24"/>
          <w:lang w:val="en-GB"/>
        </w:rPr>
        <w:t>P-</w:t>
      </w:r>
      <w:proofErr w:type="spellStart"/>
      <w:r w:rsidR="0098352C">
        <w:rPr>
          <w:rFonts w:ascii="Times New Roman" w:hAnsi="Times New Roman" w:cs="Times New Roman"/>
          <w:sz w:val="24"/>
          <w:szCs w:val="24"/>
          <w:lang w:val="en-GB"/>
        </w:rPr>
        <w:t>ța</w:t>
      </w:r>
      <w:proofErr w:type="spellEnd"/>
      <w:r w:rsidR="0098352C">
        <w:rPr>
          <w:rFonts w:ascii="Times New Roman" w:hAnsi="Times New Roman" w:cs="Times New Roman"/>
          <w:sz w:val="24"/>
          <w:szCs w:val="24"/>
          <w:lang w:val="en-GB"/>
        </w:rPr>
        <w:t xml:space="preserve"> G. Enescu nr.1</w:t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Cod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poştal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352C">
        <w:rPr>
          <w:rFonts w:ascii="Times New Roman" w:hAnsi="Times New Roman" w:cs="Times New Roman"/>
          <w:sz w:val="24"/>
          <w:szCs w:val="24"/>
          <w:lang w:val="en-GB"/>
        </w:rPr>
        <w:t>310131</w:t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plic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închis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pe care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înscrisă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mențiunea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Raportare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privind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încălcări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ale 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legii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1683EB" w14:textId="76B28E8E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>b) 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format electronic</w:t>
      </w: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la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98352C">
        <w:rPr>
          <w:rFonts w:ascii="Times New Roman" w:hAnsi="Times New Roman" w:cs="Times New Roman"/>
          <w:sz w:val="24"/>
          <w:szCs w:val="24"/>
          <w:lang w:val="en-GB"/>
        </w:rPr>
        <w:t>office@</w:t>
      </w:r>
      <w:hyperlink r:id="rId12" w:history="1">
        <w:r w:rsidR="0098352C" w:rsidRPr="00781B8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museumarad</w:t>
        </w:r>
        <w:r w:rsidR="0098352C"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.</w:t>
        </w:r>
      </w:hyperlink>
      <w:r w:rsidR="0098352C">
        <w:rPr>
          <w:rFonts w:ascii="Times New Roman" w:hAnsi="Times New Roman" w:cs="Times New Roman"/>
          <w:sz w:val="24"/>
          <w:szCs w:val="24"/>
          <w:lang w:val="en-GB"/>
        </w:rPr>
        <w:t xml:space="preserve">ro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utilizarea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formularului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predefinit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mai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sus.</w:t>
      </w:r>
    </w:p>
    <w:p w14:paraId="0ECF90B0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sesizările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formulate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scris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utiliza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formularul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Raportare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privind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încălcări</w:t>
      </w:r>
      <w:proofErr w:type="spellEnd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ale </w:t>
      </w:r>
      <w:proofErr w:type="spellStart"/>
      <w:r w:rsidRPr="00EB6F7A">
        <w:rPr>
          <w:rFonts w:ascii="Times New Roman" w:hAnsi="Times New Roman" w:cs="Times New Roman"/>
          <w:i/>
          <w:iCs/>
          <w:sz w:val="24"/>
          <w:szCs w:val="24"/>
          <w:lang w:val="en-GB"/>
        </w:rPr>
        <w:t>legii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 – (</w:t>
      </w:r>
      <w:hyperlink r:id="rId13" w:history="1"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.doc</w:t>
        </w:r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)  (</w:t>
      </w:r>
      <w:hyperlink r:id="rId14" w:history="1">
        <w:r w:rsidRPr="00EB6F7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.pdf</w:t>
        </w:r>
      </w:hyperlink>
      <w:r w:rsidRPr="00EB6F7A">
        <w:rPr>
          <w:rFonts w:ascii="Times New Roman" w:hAnsi="Times New Roman" w:cs="Times New Roman"/>
          <w:sz w:val="24"/>
          <w:szCs w:val="24"/>
          <w:lang w:val="en-GB"/>
        </w:rPr>
        <w:t>) </w:t>
      </w:r>
    </w:p>
    <w:p w14:paraId="4BEE59E6" w14:textId="3D244750" w:rsidR="00EB6F7A" w:rsidRPr="00EB6F7A" w:rsidRDefault="00EB6F7A" w:rsidP="00B95A7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Raportarea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care nu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cuprinde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numele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prenumele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datele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contact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sau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semnătura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avertizorului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interes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public se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examinează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se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soluționează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măsura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care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conține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indicii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referitoare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încălcări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ale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legii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conformitate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cu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prevederile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art. 6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punctul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 din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Legea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nr. 361/2002</w:t>
      </w:r>
      <w:r w:rsidR="009835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98352C">
        <w:rPr>
          <w:rFonts w:ascii="Times New Roman" w:hAnsi="Times New Roman" w:cs="Times New Roman"/>
          <w:b/>
          <w:bCs/>
          <w:sz w:val="24"/>
          <w:szCs w:val="24"/>
          <w:lang w:val="en-GB"/>
        </w:rPr>
        <w:t>actualizată</w:t>
      </w:r>
      <w:proofErr w:type="spellEnd"/>
      <w:r w:rsidR="0098352C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11FB9B9B" w14:textId="4436789D" w:rsidR="00EB6F7A" w:rsidRPr="00334072" w:rsidRDefault="00EB6F7A" w:rsidP="003340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Persoana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responsabilă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primirea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înregistrarea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examinarea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efectuarea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acțiuni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ubsecvente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soluționarea</w:t>
      </w:r>
      <w:proofErr w:type="spellEnd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raportărilor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dna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Emanuela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Bundea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muzeograf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,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desemnata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Dispoziția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072">
        <w:rPr>
          <w:rFonts w:ascii="Times New Roman" w:hAnsi="Times New Roman" w:cs="Times New Roman"/>
          <w:sz w:val="24"/>
          <w:szCs w:val="24"/>
          <w:lang w:val="en-GB"/>
        </w:rPr>
        <w:t>managerului</w:t>
      </w:r>
      <w:proofErr w:type="spellEnd"/>
      <w:r w:rsidR="00334072">
        <w:rPr>
          <w:rFonts w:ascii="Times New Roman" w:hAnsi="Times New Roman" w:cs="Times New Roman"/>
          <w:sz w:val="24"/>
          <w:szCs w:val="24"/>
          <w:lang w:val="en-GB"/>
        </w:rPr>
        <w:t xml:space="preserve"> CMA nr.143 </w:t>
      </w:r>
      <w:r w:rsidR="00334072" w:rsidRPr="00334072">
        <w:rPr>
          <w:rFonts w:ascii="Times New Roman" w:hAnsi="Times New Roman" w:cs="Times New Roman"/>
          <w:sz w:val="24"/>
          <w:szCs w:val="24"/>
          <w:lang w:val="en-GB"/>
        </w:rPr>
        <w:t>din 11.08.2024</w:t>
      </w:r>
      <w:r w:rsidR="003340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C8D54FC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II.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Raportarea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externă</w:t>
      </w:r>
      <w:proofErr w:type="spellEnd"/>
      <w:r w:rsidRPr="00EB6F7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550232EB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Autorități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competente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primească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raportări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încălcări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sunt:</w:t>
      </w:r>
    </w:p>
    <w:p w14:paraId="50684673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autorităţile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instituţiile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care,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potrivit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dispoziţiilor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legale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speciale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primesc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soluţionează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raportări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referitoare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încălcări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lor de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competenţă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B6384E4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Agenţia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Naţională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Integritate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(ANI);</w:t>
      </w:r>
    </w:p>
    <w:p w14:paraId="43EDF3DF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autorităţi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instituţii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cărora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ANI le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transmite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raportările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spre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competentă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6F7A">
        <w:rPr>
          <w:rFonts w:ascii="Times New Roman" w:hAnsi="Times New Roman" w:cs="Times New Roman"/>
          <w:sz w:val="24"/>
          <w:szCs w:val="24"/>
          <w:lang w:val="en-GB"/>
        </w:rPr>
        <w:t>soluţionare</w:t>
      </w:r>
      <w:proofErr w:type="spellEnd"/>
      <w:r w:rsidRPr="00EB6F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AB19213" w14:textId="77777777" w:rsidR="00EB6F7A" w:rsidRPr="00EB6F7A" w:rsidRDefault="00EB6F7A" w:rsidP="00EB6F7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B6F7A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14:paraId="7645A91E" w14:textId="77777777" w:rsidR="00302842" w:rsidRPr="00EB6F7A" w:rsidRDefault="00302842">
      <w:pPr>
        <w:rPr>
          <w:rFonts w:ascii="Times New Roman" w:hAnsi="Times New Roman" w:cs="Times New Roman"/>
          <w:sz w:val="24"/>
          <w:szCs w:val="24"/>
        </w:rPr>
      </w:pPr>
    </w:p>
    <w:sectPr w:rsidR="00302842" w:rsidRPr="00EB6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D99"/>
    <w:multiLevelType w:val="multilevel"/>
    <w:tmpl w:val="BB3E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56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7A"/>
    <w:rsid w:val="002166AA"/>
    <w:rsid w:val="00302842"/>
    <w:rsid w:val="00334072"/>
    <w:rsid w:val="005200B6"/>
    <w:rsid w:val="00725384"/>
    <w:rsid w:val="0098352C"/>
    <w:rsid w:val="00B95A7F"/>
    <w:rsid w:val="00BA6773"/>
    <w:rsid w:val="00CE65FD"/>
    <w:rsid w:val="00D70E3F"/>
    <w:rsid w:val="00D7497B"/>
    <w:rsid w:val="00E33B1D"/>
    <w:rsid w:val="00EB6F7A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DB97"/>
  <w15:chartTrackingRefBased/>
  <w15:docId w15:val="{B78DB639-1B27-4577-8704-E0DBDF17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F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F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F7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F7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F7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F7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F7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F7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F7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B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F7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F7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B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F7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B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F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F7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B6F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6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/121924" TargetMode="External"/><Relationship Id="rId13" Type="http://schemas.openxmlformats.org/officeDocument/2006/relationships/hyperlink" Target="https://antipa.ro/wp-content/uploads/2024/09/Formular-Raportare-privind-incalcari-ale-legi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/43323" TargetMode="External"/><Relationship Id="rId12" Type="http://schemas.openxmlformats.org/officeDocument/2006/relationships/hyperlink" Target="mailto:museumarad@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/22361" TargetMode="External"/><Relationship Id="rId11" Type="http://schemas.openxmlformats.org/officeDocument/2006/relationships/hyperlink" Target="https://eur-lex.europa.eu/legal-content/RO/TXT/PDF/?uri=CELEX:32016R0679" TargetMode="External"/><Relationship Id="rId5" Type="http://schemas.openxmlformats.org/officeDocument/2006/relationships/hyperlink" Target="https://www.integritate.eu/Files/Files/legislatie/.999%20Legea%20nr.%20361-2022%20privind%20protectia%20avertizorilor%20in%20interes%20public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RO/TXT/PDF/?uri=CELEX:32019L1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52934" TargetMode="External"/><Relationship Id="rId14" Type="http://schemas.openxmlformats.org/officeDocument/2006/relationships/hyperlink" Target="https://antipa.ro/wp-content/uploads/2024/09/Formular-Raportare-privind-incalcari-ale-leg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new_lavy@yahoo.com</dc:creator>
  <cp:keywords/>
  <dc:description/>
  <cp:lastModifiedBy>new_lavy@yahoo.com</cp:lastModifiedBy>
  <cp:revision>4</cp:revision>
  <dcterms:created xsi:type="dcterms:W3CDTF">2025-02-28T08:48:00Z</dcterms:created>
  <dcterms:modified xsi:type="dcterms:W3CDTF">2025-08-04T10:14:00Z</dcterms:modified>
</cp:coreProperties>
</file>